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Q3 2028 CALENDAR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20"/>
        <w:gridCol w:w="4920"/>
        <w:gridCol w:w="4920"/>
      </w:tblGrid>
      <w:tr>
        <w:tc>
          <w:tcPr>
            <w:tcW w:type="dxa" w:w="4920"/>
          </w:tcPr>
          <w:p>
            <w:r>
              <w:rPr>
                <w:b/>
              </w:rPr>
              <w:t>July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August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4920"/>
          </w:tcPr>
          <w:p>
            <w:r>
              <w:rPr>
                <w:b/>
              </w:rPr>
              <w:t>September 2028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703"/>
              <w:gridCol w:w="703"/>
              <w:gridCol w:w="703"/>
              <w:gridCol w:w="703"/>
              <w:gridCol w:w="703"/>
              <w:gridCol w:w="703"/>
              <w:gridCol w:w="703"/>
            </w:tblGrid>
            <w:t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Mo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Tu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We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Th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Fr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b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13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19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20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21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22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24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25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26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27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28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29</w:t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  <w:tc>
                <w:tcPr>
                  <w:tcW w:type="dxa" w:w="703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Work Sans" w:hAnsi="Work Sans"/>
                      <w:sz w:val="16"/>
                    </w:rPr>
                  </w:r>
                </w:p>
              </w:tc>
            </w:tr>
          </w:tbl>
          <w:p/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