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Q1 2028 CALENDAR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20"/>
        <w:gridCol w:w="4920"/>
        <w:gridCol w:w="4920"/>
      </w:tblGrid>
      <w:tr>
        <w:tc>
          <w:tcPr>
            <w:tcW w:type="dxa" w:w="4920"/>
          </w:tcPr>
          <w:p>
            <w:r>
              <w:rPr>
                <w:b/>
              </w:rPr>
              <w:t>January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February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March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Barlow Condensed" w:hAnsi="Barlow Condense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Q1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